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Accesso civico generalizzato concernente dati e documenti ulteriori a quelli soggetti a pubblicazione obbligatoria ai sensi del D.Lgs. 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nell'accesso civico "generalizzato" concernente dati e documenti ulteriori a quelli soggetti a pubblicazione obbligatoria ai sensi del D.Lgs.33/2013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D.Lgs. n. 82/2005 - L. 190/2012 - DPR n. 62/2013 - Statuto - Regolamento sul procedimento amministrativo - L. 241/1990 - D.P.R. 184/2006 - D.Lgs. 33/2013 - Linee guida ANAC - Regolamento sull'esercizio del diritto d'accesso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0F0240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34D2A" w:rsidRDefault="000F024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al TAR entro 30 giorni dal diniego o dal non accoglimento dell'istanza di riesame al RPCT oppure ricorso al Garante della Regione, laddove istituito, ai sensi degli art. 116 D.lgs 104/2010 e art. 5 del D.Lgs 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F024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0240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34D2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33BD7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2026-06-06T21:17:00Z</dcterms:modified>
</cp:coreProperties>
</file>